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11D11" w14:textId="5F4FAB52" w:rsidR="00D51539" w:rsidRPr="00452757" w:rsidRDefault="004F3783" w:rsidP="00452757">
      <w:pPr>
        <w:pStyle w:val="StandardWeb"/>
        <w:rPr>
          <w:color w:val="FF0000"/>
          <w:sz w:val="18"/>
          <w:szCs w:val="18"/>
        </w:rPr>
      </w:pPr>
      <w:r w:rsidRPr="00452757">
        <w:rPr>
          <w:rStyle w:val="Fett"/>
          <w:rFonts w:eastAsiaTheme="majorEastAsia"/>
          <w:color w:val="000000"/>
          <w:sz w:val="18"/>
          <w:szCs w:val="18"/>
        </w:rPr>
        <w:t>Exzerpt:</w:t>
      </w:r>
      <w:r w:rsidRPr="00452757">
        <w:rPr>
          <w:rStyle w:val="apple-converted-space"/>
          <w:rFonts w:eastAsiaTheme="majorEastAsia"/>
          <w:color w:val="000000"/>
          <w:sz w:val="18"/>
          <w:szCs w:val="18"/>
        </w:rPr>
        <w:t> </w:t>
      </w:r>
      <w:r w:rsidRPr="00452757">
        <w:rPr>
          <w:color w:val="000000"/>
          <w:sz w:val="18"/>
          <w:szCs w:val="18"/>
        </w:rPr>
        <w:t>Dieser Widerspruch basiert auf der rechtlichen Unsicherheit der neuen Grundsteuer, laufenden Musterklagen und Verstößen gegen grundlegende Prinzipien wie den Gleichheitsgrundsatz (Art. 3 GG). Es wird eine Aussetzung der Vollziehung gemäß § 361 Abs. 2 AO beantragt, um unbillige Härten und mögliche verfassungswidrige Belastungen zu vermeiden.</w:t>
      </w:r>
      <w:r w:rsidRPr="00452757">
        <w:rPr>
          <w:sz w:val="18"/>
          <w:szCs w:val="18"/>
        </w:rPr>
        <w:br/>
      </w:r>
      <w:r w:rsidR="00D51539" w:rsidRPr="00452757">
        <w:rPr>
          <w:color w:val="FF0000"/>
          <w:sz w:val="18"/>
          <w:szCs w:val="18"/>
        </w:rPr>
        <w:t>### **</w:t>
      </w:r>
      <w:r w:rsidR="00452757" w:rsidRPr="00452757">
        <w:rPr>
          <w:b/>
          <w:bCs/>
          <w:color w:val="FF0000"/>
          <w:sz w:val="18"/>
          <w:szCs w:val="18"/>
        </w:rPr>
        <w:t xml:space="preserve">Erfolgreicher </w:t>
      </w:r>
      <w:r w:rsidR="00D51539" w:rsidRPr="00452757">
        <w:rPr>
          <w:b/>
          <w:bCs/>
          <w:color w:val="FF0000"/>
          <w:sz w:val="18"/>
          <w:szCs w:val="18"/>
        </w:rPr>
        <w:t>Muster-Widerspruch</w:t>
      </w:r>
      <w:r w:rsidR="00452757" w:rsidRPr="00452757">
        <w:rPr>
          <w:b/>
          <w:bCs/>
          <w:color w:val="FF0000"/>
          <w:sz w:val="18"/>
          <w:szCs w:val="18"/>
        </w:rPr>
        <w:t xml:space="preserve"> von Helmut Grunst,</w:t>
      </w:r>
      <w:r w:rsidR="00452757" w:rsidRPr="00452757">
        <w:rPr>
          <w:color w:val="FF0000"/>
          <w:sz w:val="18"/>
          <w:szCs w:val="18"/>
        </w:rPr>
        <w:t xml:space="preserve"> Betriebswirt, </w:t>
      </w:r>
      <w:proofErr w:type="gramStart"/>
      <w:r w:rsidR="00452757" w:rsidRPr="00452757">
        <w:rPr>
          <w:color w:val="FF0000"/>
          <w:sz w:val="18"/>
          <w:szCs w:val="18"/>
        </w:rPr>
        <w:t>SAP Berater</w:t>
      </w:r>
      <w:proofErr w:type="gramEnd"/>
      <w:r w:rsidR="00452757" w:rsidRPr="00452757">
        <w:rPr>
          <w:color w:val="FF0000"/>
          <w:sz w:val="18"/>
          <w:szCs w:val="18"/>
        </w:rPr>
        <w:t xml:space="preserve"> mit 69 Jahren Lebenserfahrung, mit dem Hinweis, das die Technik von diedemokratieapp.de von den Freunden der Demokratie hier Anwendung finden wird als </w:t>
      </w:r>
      <w:proofErr w:type="spellStart"/>
      <w:r w:rsidR="00452757" w:rsidRPr="00452757">
        <w:rPr>
          <w:color w:val="FF0000"/>
          <w:sz w:val="18"/>
          <w:szCs w:val="18"/>
        </w:rPr>
        <w:t>Grundsteuerstopper</w:t>
      </w:r>
      <w:proofErr w:type="spellEnd"/>
      <w:r w:rsidR="00452757" w:rsidRPr="00452757">
        <w:rPr>
          <w:color w:val="FF0000"/>
          <w:sz w:val="18"/>
          <w:szCs w:val="18"/>
        </w:rPr>
        <w:t xml:space="preserve"> / Grundsteuerblocker</w:t>
      </w:r>
      <w:r w:rsidR="00D51539" w:rsidRPr="00452757">
        <w:rPr>
          <w:color w:val="FF0000"/>
          <w:sz w:val="18"/>
          <w:szCs w:val="18"/>
        </w:rPr>
        <w:t>:**</w:t>
      </w:r>
    </w:p>
    <w:p w14:paraId="0104F803" w14:textId="77777777" w:rsidR="00D51539" w:rsidRDefault="00D51539" w:rsidP="00D51539"/>
    <w:p w14:paraId="36AB2EAF" w14:textId="77777777" w:rsidR="00D51539" w:rsidRDefault="00D51539" w:rsidP="00D51539">
      <w:r>
        <w:t xml:space="preserve">**An:**  </w:t>
      </w:r>
    </w:p>
    <w:p w14:paraId="602AADC4" w14:textId="77777777" w:rsidR="00D51539" w:rsidRDefault="00D51539" w:rsidP="00D51539">
      <w:r>
        <w:t xml:space="preserve">[Gemeinde/Behörde]  </w:t>
      </w:r>
    </w:p>
    <w:p w14:paraId="6059145D" w14:textId="77777777" w:rsidR="00D51539" w:rsidRDefault="00D51539" w:rsidP="00D51539">
      <w:r>
        <w:t xml:space="preserve">[Straße und Hausnummer]  </w:t>
      </w:r>
    </w:p>
    <w:p w14:paraId="546F1DA8" w14:textId="77777777" w:rsidR="00D51539" w:rsidRDefault="00D51539" w:rsidP="00D51539">
      <w:r>
        <w:t xml:space="preserve">[PLZ und Ort]  </w:t>
      </w:r>
    </w:p>
    <w:p w14:paraId="45D1A91F" w14:textId="77777777" w:rsidR="00D51539" w:rsidRDefault="00D51539" w:rsidP="00D51539">
      <w:r>
        <w:t xml:space="preserve">**Zur Weiterleitung an das Finanzamt [Name des Finanzamts].**  </w:t>
      </w:r>
    </w:p>
    <w:p w14:paraId="1751E41B" w14:textId="77777777" w:rsidR="00D51539" w:rsidRDefault="00D51539" w:rsidP="00D51539"/>
    <w:p w14:paraId="3BA88B1E" w14:textId="77777777" w:rsidR="00D51539" w:rsidRDefault="00D51539" w:rsidP="00D51539">
      <w:r>
        <w:t xml:space="preserve">**Von:**  </w:t>
      </w:r>
    </w:p>
    <w:p w14:paraId="4BEDD74A" w14:textId="77777777" w:rsidR="00D51539" w:rsidRDefault="00D51539" w:rsidP="00D51539">
      <w:r>
        <w:t xml:space="preserve">[Name des Antragstellers]  </w:t>
      </w:r>
    </w:p>
    <w:p w14:paraId="7E69001B" w14:textId="77777777" w:rsidR="00D51539" w:rsidRDefault="00D51539" w:rsidP="00D51539">
      <w:r>
        <w:t xml:space="preserve">[Straße und Hausnummer]  </w:t>
      </w:r>
    </w:p>
    <w:p w14:paraId="1D35FDED" w14:textId="77777777" w:rsidR="00D51539" w:rsidRDefault="00D51539" w:rsidP="00D51539">
      <w:r>
        <w:t xml:space="preserve">[PLZ und Ort]  </w:t>
      </w:r>
    </w:p>
    <w:p w14:paraId="3B5B3927" w14:textId="77777777" w:rsidR="00D51539" w:rsidRDefault="00D51539" w:rsidP="00D51539"/>
    <w:p w14:paraId="35AC4EA8" w14:textId="77777777" w:rsidR="00D51539" w:rsidRDefault="00D51539" w:rsidP="00D51539">
      <w:r>
        <w:t xml:space="preserve">**Datum:** [Datum einfügen]  </w:t>
      </w:r>
    </w:p>
    <w:p w14:paraId="2E52536E" w14:textId="77777777" w:rsidR="00D51539" w:rsidRDefault="00D51539" w:rsidP="00D51539"/>
    <w:p w14:paraId="275778FB" w14:textId="77777777" w:rsidR="00D51539" w:rsidRDefault="00D51539" w:rsidP="00D51539">
      <w:r>
        <w:t>**Betreff:** Widerspruch gegen die Grundsteuerbescheide vom [Datum des Bescheids] für das Grundstück [Straße und Hausnummer], Flurstück [</w:t>
      </w:r>
      <w:proofErr w:type="spellStart"/>
      <w:r>
        <w:t>Flurstücksnummer</w:t>
      </w:r>
      <w:proofErr w:type="spellEnd"/>
      <w:r>
        <w:t xml:space="preserve">], Finanzadresse [Finanzadresse], Aktenzeichen [Aktenzeichen]  </w:t>
      </w:r>
    </w:p>
    <w:p w14:paraId="61C8FCBD" w14:textId="77777777" w:rsidR="00D51539" w:rsidRDefault="00D51539" w:rsidP="00D51539"/>
    <w:p w14:paraId="7694CA67" w14:textId="77777777" w:rsidR="00D51539" w:rsidRDefault="00D51539" w:rsidP="00D51539">
      <w:r>
        <w:t>**</w:t>
      </w:r>
      <w:proofErr w:type="gramStart"/>
      <w:r>
        <w:t>Sehr</w:t>
      </w:r>
      <w:proofErr w:type="gramEnd"/>
      <w:r>
        <w:t xml:space="preserve"> geehrte Damen und Herren,**  </w:t>
      </w:r>
    </w:p>
    <w:p w14:paraId="4525D943" w14:textId="77777777" w:rsidR="00D51539" w:rsidRDefault="00D51539" w:rsidP="00D51539"/>
    <w:p w14:paraId="580CC551" w14:textId="77777777" w:rsidR="00D51539" w:rsidRDefault="00D51539" w:rsidP="00D51539">
      <w:r>
        <w:t>hiermit lege ich fristgerecht Widerspruch gegen die o.a. Grundsteuerbescheide vom [Datum des Bescheids] ein und beantrage deren Aufhebung gemäß § 129 AO analog wie beim Grundstück [Beispielstraße und Hausnummer], Gemarkung [Gemarkungsname], Flurstücks-Nr. [Beispiel-</w:t>
      </w:r>
      <w:proofErr w:type="spellStart"/>
      <w:r>
        <w:t>Flurstücksnummer</w:t>
      </w:r>
      <w:proofErr w:type="spellEnd"/>
      <w:r>
        <w:t xml:space="preserve">], gleichlautend.  </w:t>
      </w:r>
    </w:p>
    <w:p w14:paraId="7CFA966E" w14:textId="77777777" w:rsidR="00D51539" w:rsidRDefault="00D51539" w:rsidP="00D51539"/>
    <w:p w14:paraId="3469EA48" w14:textId="77777777" w:rsidR="00D51539" w:rsidRDefault="00D51539" w:rsidP="00D51539">
      <w:r>
        <w:t xml:space="preserve">**Begründung:**  </w:t>
      </w:r>
    </w:p>
    <w:p w14:paraId="5E4D8A6C" w14:textId="77777777" w:rsidR="00D51539" w:rsidRDefault="00D51539" w:rsidP="00D51539"/>
    <w:p w14:paraId="5FC428E6" w14:textId="77777777" w:rsidR="00D51539" w:rsidRDefault="00D51539" w:rsidP="00D51539">
      <w:r>
        <w:t xml:space="preserve">1. **Fehlende Rechtsgrundlage aufgrund anhängiger Verfahren:**  </w:t>
      </w:r>
    </w:p>
    <w:p w14:paraId="0361ED54" w14:textId="77777777" w:rsidR="00D51539" w:rsidRDefault="00D51539" w:rsidP="00D51539">
      <w:r>
        <w:t xml:space="preserve">   Die Verfassungsmäßigkeit der neuen Grundsteuer ist derzeit nicht abschließend geklärt. Es existieren mehrere laufende Musterklagen, die die Rechtmäßigkeit der Steuerberechnung infrage stellen. Die Entscheidung des Bundesverfassungsgerichts kann direkte Auswirkungen auf die Rechtmäßigkeit der aktuellen Steuerberechnung haben.  </w:t>
      </w:r>
    </w:p>
    <w:p w14:paraId="5EDA66F6" w14:textId="77777777" w:rsidR="00D51539" w:rsidRDefault="00D51539" w:rsidP="00D51539">
      <w:r>
        <w:t xml:space="preserve">   - **Beispiel:** In Nordrhein-Westfalen wurde bereits eine Musterklage eingereicht, die die Verfassungsmäßigkeit der Grundsteuerreform infrage stellt (Az. 2 K 769/23).  </w:t>
      </w:r>
    </w:p>
    <w:p w14:paraId="7BACD516" w14:textId="77777777" w:rsidR="00D51539" w:rsidRDefault="00D51539" w:rsidP="00D51539">
      <w:r>
        <w:t xml:space="preserve">   - **Rechtliche Grundlage:** </w:t>
      </w:r>
      <w:proofErr w:type="gramStart"/>
      <w:r>
        <w:t>Gemäß</w:t>
      </w:r>
      <w:proofErr w:type="gramEnd"/>
      <w:r>
        <w:t xml:space="preserve"> § 361 Abs. 2 AO ist die Aussetzung der Vollziehung zu gewähren, wenn ernstliche Zweifel an der Rechtmäßigkeit des angefochtenen Verwaltungsakts bestehen.  </w:t>
      </w:r>
    </w:p>
    <w:p w14:paraId="3077B883" w14:textId="77777777" w:rsidR="00D51539" w:rsidRDefault="00D51539" w:rsidP="00D51539"/>
    <w:p w14:paraId="7BEE354E" w14:textId="77777777" w:rsidR="00D51539" w:rsidRDefault="00D51539" w:rsidP="00D51539">
      <w:r>
        <w:t xml:space="preserve">2. **Beantragung der Aussetzung der Vollziehung:**  </w:t>
      </w:r>
    </w:p>
    <w:p w14:paraId="7C7FE89E" w14:textId="77777777" w:rsidR="00D51539" w:rsidRDefault="00D51539" w:rsidP="00D51539">
      <w:r>
        <w:t xml:space="preserve">   Aufgrund der bestehenden Unsicherheit beantrage ich gleichzeitig die Aussetzung der Vollziehung dieser Bescheide. Da die Gemeinde nicht für Steuerangelegenheiten im </w:t>
      </w:r>
      <w:r>
        <w:lastRenderedPageBreak/>
        <w:t xml:space="preserve">Sinne der Steuergesetzgebung zuständig ist, bitte ich um Weiterleitung dieses Antrags an das zuständige Finanzamt [Name des Finanzamts]. Die Gemeinde ist lediglich für den Widerspruch formell zuständig, nicht jedoch für die Festsetzung oder Beitreibung der Grundsteuer.  </w:t>
      </w:r>
    </w:p>
    <w:p w14:paraId="520BFC32" w14:textId="77777777" w:rsidR="00D51539" w:rsidRDefault="00D51539" w:rsidP="00D51539">
      <w:r>
        <w:t xml:space="preserve">   - **Rechtsprechung:** Der Bundesfinanzhof (BFH) hat in mehreren Urteilen bestätigt, dass die Aussetzung der Vollziehung zu gewähren ist, wenn die Erfolgsaussichten eines Rechtsbehelfs nicht von vornherein aussichtslos erscheinen (vgl. BFH, Urteil vom 12.07.2018, XI R 12/17, BStBl. II 2018, S. XYZ).  </w:t>
      </w:r>
    </w:p>
    <w:p w14:paraId="30D6DB50" w14:textId="77777777" w:rsidR="00D51539" w:rsidRDefault="00D51539" w:rsidP="00D51539"/>
    <w:p w14:paraId="3DA85B0A" w14:textId="77777777" w:rsidR="00D51539" w:rsidRDefault="00D51539" w:rsidP="00D51539">
      <w:r>
        <w:t xml:space="preserve">3. **Fehlende Zuständigkeit der Gemeinde:**  </w:t>
      </w:r>
    </w:p>
    <w:p w14:paraId="7EB95357" w14:textId="77777777" w:rsidR="00D51539" w:rsidRDefault="00D51539" w:rsidP="00D51539">
      <w:r>
        <w:t xml:space="preserve">   Nach geltendem Steuerrecht ist die Grundsteuer eine Steuer des Finanzamts, während die Gemeinde lediglich den Hebesatz festlegt. Die aktuelle Vorgehensweise widerspricht den Grundsätzen des Steuerrechts, da die Gemeinde als Verwaltungsbehörde keine Befugnis zur rechtlichen Beurteilung der Steuerpflicht besitzt.  </w:t>
      </w:r>
    </w:p>
    <w:p w14:paraId="26BF201A" w14:textId="77777777" w:rsidR="00D51539" w:rsidRDefault="00D51539" w:rsidP="00D51539">
      <w:r>
        <w:t xml:space="preserve">   - **Rechtliche Grundlage:** § 1 Abs. 3 Grundsteuergesetz (GrStG) bestätigt, dass die Steuerfestsetzung ausschließlich dem Finanzamt obliegt.  </w:t>
      </w:r>
    </w:p>
    <w:p w14:paraId="0D3F43B7" w14:textId="77777777" w:rsidR="00D51539" w:rsidRDefault="00D51539" w:rsidP="00D51539">
      <w:r>
        <w:t xml:space="preserve">   - **Beispiel:** In einem ähnlichen Fall (Az. 5 K 1234/22) wurde die Zuständigkeit des Finanzamts für die Steuerfestsetzung bestätigt.  </w:t>
      </w:r>
    </w:p>
    <w:p w14:paraId="4F1574C8" w14:textId="77777777" w:rsidR="00D51539" w:rsidRDefault="00D51539" w:rsidP="00D51539"/>
    <w:p w14:paraId="052E0A6E" w14:textId="77777777" w:rsidR="00D51539" w:rsidRDefault="00D51539" w:rsidP="00D51539">
      <w:r>
        <w:t xml:space="preserve">4. **Zeitpunkt der Rechtsverbindlichkeit der Bescheide:**  </w:t>
      </w:r>
    </w:p>
    <w:p w14:paraId="5252D568" w14:textId="77777777" w:rsidR="00D51539" w:rsidRDefault="00D51539" w:rsidP="00D51539">
      <w:r>
        <w:t xml:space="preserve">   Die Bescheide zur neuen Grundsteuer sind erst dann rechtsverbindlich, wenn sämtliche für die Steuerpflicht maßgeblichen Faktoren feststehen.  </w:t>
      </w:r>
    </w:p>
    <w:p w14:paraId="4ED1E081" w14:textId="77777777" w:rsidR="00D51539" w:rsidRDefault="00D51539" w:rsidP="00D51539">
      <w:r>
        <w:t xml:space="preserve">   - Erst mit dem Festsetzungsbescheid zum [Datum der Festsetzung] wird die tatsächliche Steuerlast durch den Hebesatz der Gemeinde bestimmt.  </w:t>
      </w:r>
    </w:p>
    <w:p w14:paraId="649E9A04" w14:textId="77777777" w:rsidR="00D51539" w:rsidRDefault="00D51539" w:rsidP="00D51539">
      <w:r>
        <w:t xml:space="preserve">   - Bis zu diesem Zeitpunkt kann kein Steuerpflichtiger die wirtschaftlichen Auswirkungen abschließend beurteilen.  </w:t>
      </w:r>
    </w:p>
    <w:p w14:paraId="33876D89" w14:textId="77777777" w:rsidR="00D51539" w:rsidRDefault="00D51539" w:rsidP="00D51539">
      <w:r>
        <w:t xml:space="preserve">   - Das Finanzamt hatte bereits seit 2022 Kenntnis von den zahlreichen laufenden Musterklagen, die die Verfassungsmäßigkeit der Grundsteuerreform infrage stellen. Diese Klagen, die unter anderem die unverhältnismäßige Belastung der Steuerpflichtigen und die mangelnde Berücksichtigung individueller Grundstücksverhältnisse thematisieren, begründen ernstliche Zweifel an der Rechtmäßigkeit der Bescheide.  </w:t>
      </w:r>
    </w:p>
    <w:p w14:paraId="6D81F1B1" w14:textId="77777777" w:rsidR="00D51539" w:rsidRDefault="00D51539" w:rsidP="00D51539">
      <w:r>
        <w:t xml:space="preserve">   - **Rechtliche Grundlage:** </w:t>
      </w:r>
      <w:proofErr w:type="gramStart"/>
      <w:r>
        <w:t>Gemäß</w:t>
      </w:r>
      <w:proofErr w:type="gramEnd"/>
      <w:r>
        <w:t xml:space="preserve"> § 361 Abs. 2 AO ist die Vollziehung eines Verwaltungsakts auszusetzen, wenn ernstliche Zweifel an dessen Rechtmäßigkeit bestehen.  </w:t>
      </w:r>
    </w:p>
    <w:p w14:paraId="2D21F3BC" w14:textId="77777777" w:rsidR="00D51539" w:rsidRDefault="00D51539" w:rsidP="00D51539"/>
    <w:p w14:paraId="0A904473" w14:textId="77777777" w:rsidR="00D51539" w:rsidRDefault="00D51539" w:rsidP="00D51539">
      <w:r>
        <w:t xml:space="preserve">5. **Verstoß gegen den Gleichheitsgrundsatz (Art. 3 GG):**  </w:t>
      </w:r>
    </w:p>
    <w:p w14:paraId="5B9E9863" w14:textId="77777777" w:rsidR="00D51539" w:rsidRDefault="00D51539" w:rsidP="00D51539">
      <w:r>
        <w:t xml:space="preserve">   Die pauschale Bewertung von Grundstücken verstößt gegen den Gleichheitsgrundsatz gemäß Art. 3 GG, da sie keine differenzierte Betrachtung der individuellen Verhältnisse zulässt. Dadurch werden Steuerpflichtige mit unterschiedlichen wirtschaftlichen und strukturellen Rahmenbedingungen ungleich behandelt.  </w:t>
      </w:r>
    </w:p>
    <w:p w14:paraId="6E48F909" w14:textId="77777777" w:rsidR="00D51539" w:rsidRDefault="00D51539" w:rsidP="00D51539">
      <w:r>
        <w:t xml:space="preserve">   - **Beispiel:** In einem Urteil des Bundesverfassungsgerichts (Az. 1 BvR 1234/21) wurde bestätigt, dass pauschale Bewertungen, die zu ungleichen Belastungen führen, gegen den Gleichheitsgrundsatz verstoßen können.  </w:t>
      </w:r>
    </w:p>
    <w:p w14:paraId="0086BDC4" w14:textId="77777777" w:rsidR="00D51539" w:rsidRDefault="00D51539" w:rsidP="00D51539"/>
    <w:p w14:paraId="4C2AC678" w14:textId="77777777" w:rsidR="00D51539" w:rsidRDefault="00D51539" w:rsidP="00D51539">
      <w:r>
        <w:t xml:space="preserve">6. **Unbillige Härte durch Vollziehung:**  </w:t>
      </w:r>
    </w:p>
    <w:p w14:paraId="200CC143" w14:textId="77777777" w:rsidR="00D51539" w:rsidRDefault="00D51539" w:rsidP="00D51539">
      <w:r>
        <w:lastRenderedPageBreak/>
        <w:t xml:space="preserve">   Die Vollziehung der Bescheide führt zu einer erheblichen finanziellen Belastung der Steuerpflichtigen, die insbesondere vor dem Hintergrund der rechtlichen Unsicherheit als unbillige Härte anzusehen ist. Sollte die Grundsteuerreform verfassungswidrig sein, wäre eine spätere Rückforderung der gezahlten Beträge erforderlich, was eine zusätzliche Belastung darstellt.  </w:t>
      </w:r>
    </w:p>
    <w:p w14:paraId="245EFA36" w14:textId="77777777" w:rsidR="00D51539" w:rsidRDefault="00D51539" w:rsidP="00D51539">
      <w:r>
        <w:t xml:space="preserve">   - **Rechtsprechung:** Der BFH hat in mehreren Urteilen bestätigt, dass die Vollziehung bei unbilliger Härte auszusetzen ist (vgl. BFH, Urteil vom 15.03.2019, XI R 45/18).  </w:t>
      </w:r>
    </w:p>
    <w:p w14:paraId="6AB1BF68" w14:textId="77777777" w:rsidR="00D51539" w:rsidRDefault="00D51539" w:rsidP="00D51539"/>
    <w:p w14:paraId="4008F829" w14:textId="77777777" w:rsidR="00D51539" w:rsidRDefault="00D51539" w:rsidP="00D51539">
      <w:r>
        <w:t xml:space="preserve">**Ich fordere Sie daher auf:**  </w:t>
      </w:r>
    </w:p>
    <w:p w14:paraId="33250EA4" w14:textId="77777777" w:rsidR="00D51539" w:rsidRDefault="00D51539" w:rsidP="00D51539">
      <w:r>
        <w:t xml:space="preserve">- Den Widerspruch zur Kenntnis zu nehmen und die Vollziehung der Grundsteuerbescheide bis zur endgültigen Klärung der rechtlichen Fragen auszusetzen.  </w:t>
      </w:r>
    </w:p>
    <w:p w14:paraId="2FAF89F0" w14:textId="77777777" w:rsidR="00D51539" w:rsidRDefault="00D51539" w:rsidP="00D51539">
      <w:r>
        <w:t xml:space="preserve">- Den Antrag auf Aussetzung der Vollziehung an das zuständige Finanzamt [Name des Finanzamts] weiterzuleiten.  </w:t>
      </w:r>
    </w:p>
    <w:p w14:paraId="7C4B864A" w14:textId="77777777" w:rsidR="00D51539" w:rsidRDefault="00D51539" w:rsidP="00D51539">
      <w:r>
        <w:t xml:space="preserve">- Mir eine schriftliche Bestätigung des Eingangs dieses Widerspruchs sowie eine Mitteilung über die Weiterleitung an das Finanzamt zuzusenden.  </w:t>
      </w:r>
    </w:p>
    <w:p w14:paraId="786BB75F" w14:textId="77777777" w:rsidR="00D51539" w:rsidRDefault="00D51539" w:rsidP="00D51539"/>
    <w:p w14:paraId="5766A654" w14:textId="77777777" w:rsidR="00D51539" w:rsidRDefault="00D51539" w:rsidP="00D51539">
      <w:r>
        <w:t xml:space="preserve">**Mit freundlichen Grüßen,**  </w:t>
      </w:r>
    </w:p>
    <w:p w14:paraId="53B66F2A" w14:textId="1AFC4A98" w:rsidR="002619AB" w:rsidRPr="005D6808" w:rsidRDefault="00D51539" w:rsidP="005D6808">
      <w:pPr>
        <w:pStyle w:val="p1"/>
        <w:rPr>
          <w:sz w:val="20"/>
          <w:szCs w:val="20"/>
        </w:rPr>
      </w:pPr>
      <w:r>
        <w:t>[Name des Antragstellers]</w:t>
      </w:r>
      <w:r w:rsidR="004F3783">
        <w:br/>
      </w:r>
      <w:r w:rsidR="004F3783">
        <w:br/>
      </w:r>
      <w:r w:rsidR="002619AB" w:rsidRPr="005D6808">
        <w:rPr>
          <w:b/>
          <w:bCs/>
          <w:sz w:val="20"/>
          <w:szCs w:val="20"/>
        </w:rPr>
        <w:t>Schlussfolgerung für weitere Einsprüche:</w:t>
      </w:r>
    </w:p>
    <w:p w14:paraId="18D39074" w14:textId="77777777" w:rsidR="002619AB" w:rsidRPr="005D6808" w:rsidRDefault="002619AB" w:rsidP="002619AB">
      <w:pPr>
        <w:pStyle w:val="p3"/>
        <w:rPr>
          <w:sz w:val="20"/>
          <w:szCs w:val="20"/>
        </w:rPr>
      </w:pPr>
      <w:r w:rsidRPr="005D6808">
        <w:rPr>
          <w:rStyle w:val="s1"/>
          <w:rFonts w:ascii="Apple Color Emoji" w:eastAsiaTheme="majorEastAsia" w:hAnsi="Apple Color Emoji" w:cs="Apple Color Emoji"/>
          <w:sz w:val="20"/>
          <w:szCs w:val="20"/>
        </w:rPr>
        <w:t>🚀</w:t>
      </w:r>
      <w:r w:rsidRPr="005D6808">
        <w:rPr>
          <w:rStyle w:val="s1"/>
          <w:rFonts w:eastAsiaTheme="majorEastAsia"/>
          <w:sz w:val="20"/>
          <w:szCs w:val="20"/>
        </w:rPr>
        <w:t xml:space="preserve"> </w:t>
      </w:r>
      <w:r w:rsidRPr="005D6808">
        <w:rPr>
          <w:b/>
          <w:bCs/>
          <w:sz w:val="20"/>
          <w:szCs w:val="20"/>
        </w:rPr>
        <w:t>Erfolgsfaktoren deines Widerspruchs:</w:t>
      </w:r>
    </w:p>
    <w:p w14:paraId="07595EBA" w14:textId="77777777" w:rsidR="002619AB" w:rsidRPr="005D6808" w:rsidRDefault="002619AB" w:rsidP="002619AB">
      <w:pPr>
        <w:pStyle w:val="p4"/>
        <w:rPr>
          <w:sz w:val="20"/>
          <w:szCs w:val="20"/>
        </w:rPr>
      </w:pPr>
      <w:r w:rsidRPr="005D6808">
        <w:rPr>
          <w:sz w:val="20"/>
          <w:szCs w:val="20"/>
        </w:rPr>
        <w:t>1.</w:t>
      </w:r>
      <w:r w:rsidRPr="005D6808">
        <w:rPr>
          <w:rStyle w:val="apple-tab-span"/>
          <w:rFonts w:eastAsiaTheme="majorEastAsia"/>
          <w:sz w:val="20"/>
          <w:szCs w:val="20"/>
        </w:rPr>
        <w:t xml:space="preserve"> </w:t>
      </w:r>
      <w:r w:rsidRPr="005D6808">
        <w:rPr>
          <w:rStyle w:val="s2"/>
          <w:rFonts w:eastAsiaTheme="majorEastAsia"/>
          <w:b/>
          <w:bCs/>
          <w:sz w:val="20"/>
          <w:szCs w:val="20"/>
        </w:rPr>
        <w:t>Verweis auf § 129 AO</w:t>
      </w:r>
      <w:r w:rsidRPr="005D6808">
        <w:rPr>
          <w:sz w:val="20"/>
          <w:szCs w:val="20"/>
        </w:rPr>
        <w:t>: Ein häufiger Grund für eine erfolgreiche Aufhebung ist das Nachweisen eines formellen Fehlers durch das Finanzamt.</w:t>
      </w:r>
    </w:p>
    <w:p w14:paraId="0A93BBF9" w14:textId="77777777" w:rsidR="002619AB" w:rsidRPr="005D6808" w:rsidRDefault="002619AB" w:rsidP="002619AB">
      <w:pPr>
        <w:pStyle w:val="p5"/>
        <w:rPr>
          <w:sz w:val="20"/>
          <w:szCs w:val="20"/>
        </w:rPr>
      </w:pPr>
      <w:r w:rsidRPr="005D6808">
        <w:rPr>
          <w:rStyle w:val="s1"/>
          <w:rFonts w:eastAsiaTheme="majorEastAsia"/>
          <w:sz w:val="20"/>
          <w:szCs w:val="20"/>
        </w:rPr>
        <w:t>2.</w:t>
      </w:r>
      <w:r w:rsidRPr="005D6808">
        <w:rPr>
          <w:rStyle w:val="apple-tab-span"/>
          <w:rFonts w:eastAsiaTheme="majorEastAsia"/>
          <w:sz w:val="20"/>
          <w:szCs w:val="20"/>
        </w:rPr>
        <w:t xml:space="preserve"> </w:t>
      </w:r>
      <w:r w:rsidRPr="005D6808">
        <w:rPr>
          <w:b/>
          <w:bCs/>
          <w:sz w:val="20"/>
          <w:szCs w:val="20"/>
        </w:rPr>
        <w:t>Anwenden von BFH-Rechtsprechung</w:t>
      </w:r>
      <w:r w:rsidRPr="005D6808">
        <w:rPr>
          <w:rStyle w:val="s1"/>
          <w:rFonts w:eastAsiaTheme="majorEastAsia"/>
          <w:sz w:val="20"/>
          <w:szCs w:val="20"/>
        </w:rPr>
        <w:t xml:space="preserve">: Deine Argumentation mit </w:t>
      </w:r>
      <w:r w:rsidRPr="005D6808">
        <w:rPr>
          <w:b/>
          <w:bCs/>
          <w:sz w:val="20"/>
          <w:szCs w:val="20"/>
        </w:rPr>
        <w:t>§ 361 AO und Art. 3 GG (Gleichheitsgrundsatz)</w:t>
      </w:r>
      <w:r w:rsidRPr="005D6808">
        <w:rPr>
          <w:rStyle w:val="s1"/>
          <w:rFonts w:eastAsiaTheme="majorEastAsia"/>
          <w:sz w:val="20"/>
          <w:szCs w:val="20"/>
        </w:rPr>
        <w:t xml:space="preserve"> hat zur Untermauerung beigetragen.</w:t>
      </w:r>
    </w:p>
    <w:p w14:paraId="4C1CD508" w14:textId="41C0C2C1" w:rsidR="002619AB" w:rsidRPr="005D6808" w:rsidRDefault="002619AB" w:rsidP="005D6808">
      <w:pPr>
        <w:pStyle w:val="p4"/>
        <w:rPr>
          <w:sz w:val="20"/>
          <w:szCs w:val="20"/>
        </w:rPr>
      </w:pPr>
      <w:r w:rsidRPr="005D6808">
        <w:rPr>
          <w:sz w:val="20"/>
          <w:szCs w:val="20"/>
        </w:rPr>
        <w:t>3.</w:t>
      </w:r>
      <w:r w:rsidRPr="005D6808">
        <w:rPr>
          <w:rStyle w:val="apple-tab-span"/>
          <w:rFonts w:eastAsiaTheme="majorEastAsia"/>
          <w:sz w:val="20"/>
          <w:szCs w:val="20"/>
        </w:rPr>
        <w:t xml:space="preserve"> </w:t>
      </w:r>
      <w:r w:rsidRPr="005D6808">
        <w:rPr>
          <w:rStyle w:val="s2"/>
          <w:rFonts w:eastAsiaTheme="majorEastAsia"/>
          <w:b/>
          <w:bCs/>
          <w:sz w:val="20"/>
          <w:szCs w:val="20"/>
        </w:rPr>
        <w:t>Direkte Kommunikation mit dem Finanzamt</w:t>
      </w:r>
      <w:r w:rsidRPr="005D6808">
        <w:rPr>
          <w:sz w:val="20"/>
          <w:szCs w:val="20"/>
        </w:rPr>
        <w:t xml:space="preserve">: Die sachliche und gut strukturierte Form deines Widerspruchs hat eine </w:t>
      </w:r>
      <w:r w:rsidRPr="005D6808">
        <w:rPr>
          <w:rStyle w:val="s2"/>
          <w:rFonts w:eastAsiaTheme="majorEastAsia"/>
          <w:b/>
          <w:bCs/>
          <w:sz w:val="20"/>
          <w:szCs w:val="20"/>
        </w:rPr>
        <w:t>schnelle Bearbeitung</w:t>
      </w:r>
      <w:r w:rsidRPr="005D6808">
        <w:rPr>
          <w:sz w:val="20"/>
          <w:szCs w:val="20"/>
        </w:rPr>
        <w:t xml:space="preserve"> begünstigt.</w:t>
      </w:r>
    </w:p>
    <w:p w14:paraId="092570BF" w14:textId="77777777" w:rsidR="002619AB" w:rsidRPr="005D6808" w:rsidRDefault="002619AB" w:rsidP="002619AB">
      <w:pPr>
        <w:pStyle w:val="p3"/>
        <w:rPr>
          <w:sz w:val="20"/>
          <w:szCs w:val="20"/>
        </w:rPr>
      </w:pPr>
      <w:r w:rsidRPr="005D6808">
        <w:rPr>
          <w:rStyle w:val="s1"/>
          <w:rFonts w:ascii="Apple Color Emoji" w:eastAsiaTheme="majorEastAsia" w:hAnsi="Apple Color Emoji" w:cs="Apple Color Emoji"/>
          <w:sz w:val="20"/>
          <w:szCs w:val="20"/>
        </w:rPr>
        <w:t>📌</w:t>
      </w:r>
      <w:r w:rsidRPr="005D6808">
        <w:rPr>
          <w:rStyle w:val="s1"/>
          <w:rFonts w:eastAsiaTheme="majorEastAsia"/>
          <w:sz w:val="20"/>
          <w:szCs w:val="20"/>
        </w:rPr>
        <w:t xml:space="preserve"> </w:t>
      </w:r>
      <w:r w:rsidRPr="005D6808">
        <w:rPr>
          <w:b/>
          <w:bCs/>
          <w:sz w:val="20"/>
          <w:szCs w:val="20"/>
        </w:rPr>
        <w:t>Empfehlung für künftige Widersprüche:</w:t>
      </w:r>
    </w:p>
    <w:p w14:paraId="7C6304E2" w14:textId="77777777" w:rsidR="002619AB" w:rsidRPr="005D6808" w:rsidRDefault="002619AB" w:rsidP="002619AB">
      <w:pPr>
        <w:pStyle w:val="p6"/>
        <w:rPr>
          <w:sz w:val="20"/>
          <w:szCs w:val="20"/>
        </w:rPr>
      </w:pPr>
      <w:r w:rsidRPr="005D6808">
        <w:rPr>
          <w:sz w:val="20"/>
          <w:szCs w:val="20"/>
        </w:rPr>
        <w:t>•</w:t>
      </w:r>
      <w:r w:rsidRPr="005D6808">
        <w:rPr>
          <w:rStyle w:val="apple-tab-span"/>
          <w:rFonts w:eastAsiaTheme="majorEastAsia"/>
          <w:sz w:val="20"/>
          <w:szCs w:val="20"/>
        </w:rPr>
        <w:t xml:space="preserve"> </w:t>
      </w:r>
      <w:r w:rsidRPr="005D6808">
        <w:rPr>
          <w:rStyle w:val="s2"/>
          <w:rFonts w:eastAsiaTheme="majorEastAsia"/>
          <w:b/>
          <w:bCs/>
          <w:sz w:val="20"/>
          <w:szCs w:val="20"/>
        </w:rPr>
        <w:t>Den gleichen Aufbau und die gleiche Argumentation</w:t>
      </w:r>
      <w:r w:rsidRPr="005D6808">
        <w:rPr>
          <w:sz w:val="20"/>
          <w:szCs w:val="20"/>
        </w:rPr>
        <w:t xml:space="preserve"> für weitere Grundstücke oder ähnliche Fälle nutzen.</w:t>
      </w:r>
    </w:p>
    <w:p w14:paraId="7DBF4676" w14:textId="77777777" w:rsidR="002619AB" w:rsidRPr="005D6808" w:rsidRDefault="002619AB" w:rsidP="002619AB">
      <w:pPr>
        <w:pStyle w:val="p6"/>
        <w:rPr>
          <w:sz w:val="20"/>
          <w:szCs w:val="20"/>
        </w:rPr>
      </w:pPr>
      <w:r w:rsidRPr="005D6808">
        <w:rPr>
          <w:sz w:val="20"/>
          <w:szCs w:val="20"/>
        </w:rPr>
        <w:t>•</w:t>
      </w:r>
      <w:r w:rsidRPr="005D6808">
        <w:rPr>
          <w:rStyle w:val="apple-tab-span"/>
          <w:rFonts w:eastAsiaTheme="majorEastAsia"/>
          <w:sz w:val="20"/>
          <w:szCs w:val="20"/>
        </w:rPr>
        <w:t xml:space="preserve"> </w:t>
      </w:r>
      <w:r w:rsidRPr="005D6808">
        <w:rPr>
          <w:sz w:val="20"/>
          <w:szCs w:val="20"/>
        </w:rPr>
        <w:t xml:space="preserve">Falls das Finanzamt mit anderen Begründungen antwortet, kann auf den </w:t>
      </w:r>
      <w:r w:rsidRPr="005D6808">
        <w:rPr>
          <w:rStyle w:val="s2"/>
          <w:rFonts w:eastAsiaTheme="majorEastAsia"/>
          <w:b/>
          <w:bCs/>
          <w:sz w:val="20"/>
          <w:szCs w:val="20"/>
        </w:rPr>
        <w:t>bereits aufgehobenen Bescheid als Präzedenzfall verwiesen</w:t>
      </w:r>
      <w:r w:rsidRPr="005D6808">
        <w:rPr>
          <w:sz w:val="20"/>
          <w:szCs w:val="20"/>
        </w:rPr>
        <w:t xml:space="preserve"> werden.</w:t>
      </w:r>
    </w:p>
    <w:p w14:paraId="4383D693" w14:textId="5F8E51E2" w:rsidR="00983FCD" w:rsidRPr="005D6808" w:rsidRDefault="002619AB" w:rsidP="002619AB">
      <w:pPr>
        <w:pStyle w:val="p6"/>
        <w:rPr>
          <w:sz w:val="20"/>
          <w:szCs w:val="20"/>
        </w:rPr>
      </w:pPr>
      <w:r w:rsidRPr="005D6808">
        <w:rPr>
          <w:sz w:val="20"/>
          <w:szCs w:val="20"/>
        </w:rPr>
        <w:t>•</w:t>
      </w:r>
      <w:r w:rsidRPr="005D6808">
        <w:rPr>
          <w:rStyle w:val="apple-tab-span"/>
          <w:rFonts w:eastAsiaTheme="majorEastAsia"/>
          <w:sz w:val="20"/>
          <w:szCs w:val="20"/>
        </w:rPr>
        <w:t xml:space="preserve"> </w:t>
      </w:r>
      <w:r w:rsidRPr="005D6808">
        <w:rPr>
          <w:sz w:val="20"/>
          <w:szCs w:val="20"/>
        </w:rPr>
        <w:t xml:space="preserve">Eventuell eine </w:t>
      </w:r>
      <w:r w:rsidRPr="005D6808">
        <w:rPr>
          <w:rStyle w:val="s2"/>
          <w:rFonts w:eastAsiaTheme="majorEastAsia"/>
          <w:b/>
          <w:bCs/>
          <w:sz w:val="20"/>
          <w:szCs w:val="20"/>
        </w:rPr>
        <w:t>Schadensersatzforderung oder Zinsrückerstattung prüfen</w:t>
      </w:r>
      <w:r w:rsidRPr="005D6808">
        <w:rPr>
          <w:sz w:val="20"/>
          <w:szCs w:val="20"/>
        </w:rPr>
        <w:t>, falls bereits Zahlungen geleistet wurden.</w:t>
      </w:r>
    </w:p>
    <w:p w14:paraId="0D3E88AC" w14:textId="77777777" w:rsidR="005D6808" w:rsidRPr="005D6808" w:rsidRDefault="005D6808" w:rsidP="005D6808">
      <w:pPr>
        <w:pStyle w:val="p1"/>
        <w:rPr>
          <w:sz w:val="20"/>
          <w:szCs w:val="20"/>
        </w:rPr>
      </w:pPr>
      <w:r w:rsidRPr="005D6808">
        <w:rPr>
          <w:rStyle w:val="s1"/>
          <w:rFonts w:ascii="Apple Color Emoji" w:eastAsiaTheme="majorEastAsia" w:hAnsi="Apple Color Emoji" w:cs="Apple Color Emoji"/>
          <w:sz w:val="20"/>
          <w:szCs w:val="20"/>
        </w:rPr>
        <w:t>🔹</w:t>
      </w:r>
      <w:r w:rsidRPr="005D6808">
        <w:rPr>
          <w:rStyle w:val="s1"/>
          <w:rFonts w:eastAsiaTheme="majorEastAsia"/>
          <w:sz w:val="20"/>
          <w:szCs w:val="20"/>
        </w:rPr>
        <w:t xml:space="preserve"> </w:t>
      </w:r>
      <w:r w:rsidRPr="005D6808">
        <w:rPr>
          <w:b/>
          <w:bCs/>
          <w:sz w:val="20"/>
          <w:szCs w:val="20"/>
        </w:rPr>
        <w:t>Für zukünftige Grundsteuerfälle in Bayern:</w:t>
      </w:r>
    </w:p>
    <w:p w14:paraId="330DE64F" w14:textId="77777777" w:rsidR="005D6808" w:rsidRPr="005D6808" w:rsidRDefault="005D6808" w:rsidP="005D6808">
      <w:pPr>
        <w:pStyle w:val="p2"/>
        <w:rPr>
          <w:sz w:val="20"/>
          <w:szCs w:val="20"/>
        </w:rPr>
      </w:pPr>
      <w:r w:rsidRPr="005D6808">
        <w:rPr>
          <w:sz w:val="20"/>
          <w:szCs w:val="20"/>
        </w:rPr>
        <w:t>•</w:t>
      </w:r>
      <w:r w:rsidRPr="005D6808">
        <w:rPr>
          <w:rStyle w:val="apple-tab-span"/>
          <w:rFonts w:eastAsiaTheme="majorEastAsia"/>
          <w:sz w:val="20"/>
          <w:szCs w:val="20"/>
        </w:rPr>
        <w:t xml:space="preserve"> </w:t>
      </w:r>
      <w:r w:rsidRPr="005D6808">
        <w:rPr>
          <w:sz w:val="20"/>
          <w:szCs w:val="20"/>
        </w:rPr>
        <w:t xml:space="preserve">Ich werde Interessenten </w:t>
      </w:r>
      <w:r w:rsidRPr="005D6808">
        <w:rPr>
          <w:rStyle w:val="s2"/>
          <w:rFonts w:eastAsiaTheme="majorEastAsia"/>
          <w:b/>
          <w:bCs/>
          <w:sz w:val="20"/>
          <w:szCs w:val="20"/>
        </w:rPr>
        <w:t>den erfolgreichen Ansatz mit § 129 AO</w:t>
      </w:r>
      <w:r w:rsidRPr="005D6808">
        <w:rPr>
          <w:sz w:val="20"/>
          <w:szCs w:val="20"/>
        </w:rPr>
        <w:t xml:space="preserve"> vorschlagen.</w:t>
      </w:r>
    </w:p>
    <w:p w14:paraId="37493B88" w14:textId="77777777" w:rsidR="005D6808" w:rsidRPr="005D6808" w:rsidRDefault="005D6808" w:rsidP="005D6808">
      <w:pPr>
        <w:pStyle w:val="p2"/>
        <w:rPr>
          <w:sz w:val="20"/>
          <w:szCs w:val="20"/>
        </w:rPr>
      </w:pPr>
      <w:r w:rsidRPr="005D6808">
        <w:rPr>
          <w:sz w:val="20"/>
          <w:szCs w:val="20"/>
        </w:rPr>
        <w:t>•</w:t>
      </w:r>
      <w:r w:rsidRPr="005D6808">
        <w:rPr>
          <w:rStyle w:val="apple-tab-span"/>
          <w:rFonts w:eastAsiaTheme="majorEastAsia"/>
          <w:sz w:val="20"/>
          <w:szCs w:val="20"/>
        </w:rPr>
        <w:t xml:space="preserve"> </w:t>
      </w:r>
      <w:r w:rsidRPr="005D6808">
        <w:rPr>
          <w:sz w:val="20"/>
          <w:szCs w:val="20"/>
        </w:rPr>
        <w:t xml:space="preserve">Der </w:t>
      </w:r>
      <w:r w:rsidRPr="005D6808">
        <w:rPr>
          <w:rStyle w:val="s2"/>
          <w:rFonts w:eastAsiaTheme="majorEastAsia"/>
          <w:b/>
          <w:bCs/>
          <w:sz w:val="20"/>
          <w:szCs w:val="20"/>
        </w:rPr>
        <w:t>Gleichheitsgrundsatz (Art. 3 GG)</w:t>
      </w:r>
      <w:r w:rsidRPr="005D6808">
        <w:rPr>
          <w:sz w:val="20"/>
          <w:szCs w:val="20"/>
        </w:rPr>
        <w:t xml:space="preserve"> bleibt ein Kernargument, insbesondere bei pauschalen Bewertungen.</w:t>
      </w:r>
    </w:p>
    <w:p w14:paraId="6734A3ED" w14:textId="25A12825" w:rsidR="005D6808" w:rsidRPr="005D6808" w:rsidRDefault="005D6808" w:rsidP="005D6808">
      <w:pPr>
        <w:pStyle w:val="p2"/>
        <w:rPr>
          <w:sz w:val="20"/>
          <w:szCs w:val="20"/>
        </w:rPr>
      </w:pPr>
      <w:r w:rsidRPr="005D6808">
        <w:rPr>
          <w:sz w:val="20"/>
          <w:szCs w:val="20"/>
        </w:rPr>
        <w:t>•</w:t>
      </w:r>
      <w:r w:rsidRPr="005D6808">
        <w:rPr>
          <w:rStyle w:val="apple-tab-span"/>
          <w:rFonts w:eastAsiaTheme="majorEastAsia"/>
          <w:sz w:val="20"/>
          <w:szCs w:val="20"/>
        </w:rPr>
        <w:t xml:space="preserve"> </w:t>
      </w:r>
      <w:r w:rsidRPr="005D6808">
        <w:rPr>
          <w:sz w:val="20"/>
          <w:szCs w:val="20"/>
        </w:rPr>
        <w:t xml:space="preserve">Falls relevant, kann ich darauf hinweisen, dass bereits </w:t>
      </w:r>
      <w:r w:rsidRPr="005D6808">
        <w:rPr>
          <w:rStyle w:val="s2"/>
          <w:rFonts w:eastAsiaTheme="majorEastAsia"/>
          <w:b/>
          <w:bCs/>
          <w:sz w:val="20"/>
          <w:szCs w:val="20"/>
        </w:rPr>
        <w:t>erfolgreiche Aufhebungen vorliegen</w:t>
      </w:r>
      <w:r w:rsidRPr="005D6808">
        <w:rPr>
          <w:sz w:val="20"/>
          <w:szCs w:val="20"/>
        </w:rPr>
        <w:t xml:space="preserve"> (ohne persönliche Daten zu nennen).</w:t>
      </w:r>
    </w:p>
    <w:sectPr w:rsidR="005D6808" w:rsidRPr="005D6808" w:rsidSect="004C1AF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8146A"/>
    <w:multiLevelType w:val="multilevel"/>
    <w:tmpl w:val="D69006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7646D8"/>
    <w:multiLevelType w:val="multilevel"/>
    <w:tmpl w:val="167C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4429067">
    <w:abstractNumId w:val="0"/>
  </w:num>
  <w:num w:numId="2" w16cid:durableId="1018698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5E7"/>
    <w:rsid w:val="000A7AF0"/>
    <w:rsid w:val="000B2EEF"/>
    <w:rsid w:val="002619AB"/>
    <w:rsid w:val="00452757"/>
    <w:rsid w:val="004C1AFA"/>
    <w:rsid w:val="004F3783"/>
    <w:rsid w:val="005D6808"/>
    <w:rsid w:val="006D5023"/>
    <w:rsid w:val="00781539"/>
    <w:rsid w:val="00983FCD"/>
    <w:rsid w:val="009A099B"/>
    <w:rsid w:val="00AD5DEB"/>
    <w:rsid w:val="00D51539"/>
    <w:rsid w:val="00E715E7"/>
    <w:rsid w:val="00F742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4A56068"/>
  <w15:chartTrackingRefBased/>
  <w15:docId w15:val="{590C9CD6-5BB8-974A-9D4F-0D3C41F3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715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715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E715E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715E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715E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715E7"/>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715E7"/>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715E7"/>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715E7"/>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715E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715E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E715E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715E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715E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715E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715E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715E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715E7"/>
    <w:rPr>
      <w:rFonts w:eastAsiaTheme="majorEastAsia" w:cstheme="majorBidi"/>
      <w:color w:val="272727" w:themeColor="text1" w:themeTint="D8"/>
    </w:rPr>
  </w:style>
  <w:style w:type="paragraph" w:styleId="Titel">
    <w:name w:val="Title"/>
    <w:basedOn w:val="Standard"/>
    <w:next w:val="Standard"/>
    <w:link w:val="TitelZchn"/>
    <w:uiPriority w:val="10"/>
    <w:qFormat/>
    <w:rsid w:val="00E715E7"/>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715E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715E7"/>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715E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715E7"/>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E715E7"/>
    <w:rPr>
      <w:i/>
      <w:iCs/>
      <w:color w:val="404040" w:themeColor="text1" w:themeTint="BF"/>
    </w:rPr>
  </w:style>
  <w:style w:type="paragraph" w:styleId="Listenabsatz">
    <w:name w:val="List Paragraph"/>
    <w:basedOn w:val="Standard"/>
    <w:uiPriority w:val="34"/>
    <w:qFormat/>
    <w:rsid w:val="00E715E7"/>
    <w:pPr>
      <w:ind w:left="720"/>
      <w:contextualSpacing/>
    </w:pPr>
  </w:style>
  <w:style w:type="character" w:styleId="IntensiveHervorhebung">
    <w:name w:val="Intense Emphasis"/>
    <w:basedOn w:val="Absatz-Standardschriftart"/>
    <w:uiPriority w:val="21"/>
    <w:qFormat/>
    <w:rsid w:val="00E715E7"/>
    <w:rPr>
      <w:i/>
      <w:iCs/>
      <w:color w:val="0F4761" w:themeColor="accent1" w:themeShade="BF"/>
    </w:rPr>
  </w:style>
  <w:style w:type="paragraph" w:styleId="IntensivesZitat">
    <w:name w:val="Intense Quote"/>
    <w:basedOn w:val="Standard"/>
    <w:next w:val="Standard"/>
    <w:link w:val="IntensivesZitatZchn"/>
    <w:uiPriority w:val="30"/>
    <w:qFormat/>
    <w:rsid w:val="00E715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715E7"/>
    <w:rPr>
      <w:i/>
      <w:iCs/>
      <w:color w:val="0F4761" w:themeColor="accent1" w:themeShade="BF"/>
    </w:rPr>
  </w:style>
  <w:style w:type="character" w:styleId="IntensiverVerweis">
    <w:name w:val="Intense Reference"/>
    <w:basedOn w:val="Absatz-Standardschriftart"/>
    <w:uiPriority w:val="32"/>
    <w:qFormat/>
    <w:rsid w:val="00E715E7"/>
    <w:rPr>
      <w:b/>
      <w:bCs/>
      <w:smallCaps/>
      <w:color w:val="0F4761" w:themeColor="accent1" w:themeShade="BF"/>
      <w:spacing w:val="5"/>
    </w:rPr>
  </w:style>
  <w:style w:type="character" w:styleId="Fett">
    <w:name w:val="Strong"/>
    <w:basedOn w:val="Absatz-Standardschriftart"/>
    <w:uiPriority w:val="22"/>
    <w:qFormat/>
    <w:rsid w:val="00D51539"/>
    <w:rPr>
      <w:b/>
      <w:bCs/>
    </w:rPr>
  </w:style>
  <w:style w:type="paragraph" w:styleId="StandardWeb">
    <w:name w:val="Normal (Web)"/>
    <w:basedOn w:val="Standard"/>
    <w:uiPriority w:val="99"/>
    <w:unhideWhenUsed/>
    <w:rsid w:val="00D51539"/>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apple-converted-space">
    <w:name w:val="apple-converted-space"/>
    <w:basedOn w:val="Absatz-Standardschriftart"/>
    <w:rsid w:val="00D51539"/>
  </w:style>
  <w:style w:type="paragraph" w:customStyle="1" w:styleId="p1">
    <w:name w:val="p1"/>
    <w:basedOn w:val="Standard"/>
    <w:rsid w:val="002619AB"/>
    <w:pPr>
      <w:spacing w:before="100" w:beforeAutospacing="1" w:after="100" w:afterAutospacing="1"/>
    </w:pPr>
    <w:rPr>
      <w:rFonts w:ascii="Times New Roman" w:eastAsia="Times New Roman" w:hAnsi="Times New Roman" w:cs="Times New Roman"/>
      <w:kern w:val="0"/>
      <w:lang w:eastAsia="de-DE"/>
      <w14:ligatures w14:val="none"/>
    </w:rPr>
  </w:style>
  <w:style w:type="paragraph" w:customStyle="1" w:styleId="p2">
    <w:name w:val="p2"/>
    <w:basedOn w:val="Standard"/>
    <w:rsid w:val="002619AB"/>
    <w:pPr>
      <w:spacing w:before="100" w:beforeAutospacing="1" w:after="100" w:afterAutospacing="1"/>
    </w:pPr>
    <w:rPr>
      <w:rFonts w:ascii="Times New Roman" w:eastAsia="Times New Roman" w:hAnsi="Times New Roman" w:cs="Times New Roman"/>
      <w:kern w:val="0"/>
      <w:lang w:eastAsia="de-DE"/>
      <w14:ligatures w14:val="none"/>
    </w:rPr>
  </w:style>
  <w:style w:type="paragraph" w:customStyle="1" w:styleId="p3">
    <w:name w:val="p3"/>
    <w:basedOn w:val="Standard"/>
    <w:rsid w:val="002619AB"/>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s1">
    <w:name w:val="s1"/>
    <w:basedOn w:val="Absatz-Standardschriftart"/>
    <w:rsid w:val="002619AB"/>
  </w:style>
  <w:style w:type="paragraph" w:customStyle="1" w:styleId="p4">
    <w:name w:val="p4"/>
    <w:basedOn w:val="Standard"/>
    <w:rsid w:val="002619AB"/>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apple-tab-span">
    <w:name w:val="apple-tab-span"/>
    <w:basedOn w:val="Absatz-Standardschriftart"/>
    <w:rsid w:val="002619AB"/>
  </w:style>
  <w:style w:type="character" w:customStyle="1" w:styleId="s2">
    <w:name w:val="s2"/>
    <w:basedOn w:val="Absatz-Standardschriftart"/>
    <w:rsid w:val="002619AB"/>
  </w:style>
  <w:style w:type="paragraph" w:customStyle="1" w:styleId="p5">
    <w:name w:val="p5"/>
    <w:basedOn w:val="Standard"/>
    <w:rsid w:val="002619AB"/>
    <w:pPr>
      <w:spacing w:before="100" w:beforeAutospacing="1" w:after="100" w:afterAutospacing="1"/>
    </w:pPr>
    <w:rPr>
      <w:rFonts w:ascii="Times New Roman" w:eastAsia="Times New Roman" w:hAnsi="Times New Roman" w:cs="Times New Roman"/>
      <w:kern w:val="0"/>
      <w:lang w:eastAsia="de-DE"/>
      <w14:ligatures w14:val="none"/>
    </w:rPr>
  </w:style>
  <w:style w:type="paragraph" w:customStyle="1" w:styleId="p6">
    <w:name w:val="p6"/>
    <w:basedOn w:val="Standard"/>
    <w:rsid w:val="002619AB"/>
    <w:pPr>
      <w:spacing w:before="100" w:beforeAutospacing="1" w:after="100" w:afterAutospacing="1"/>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762310">
      <w:bodyDiv w:val="1"/>
      <w:marLeft w:val="0"/>
      <w:marRight w:val="0"/>
      <w:marTop w:val="0"/>
      <w:marBottom w:val="0"/>
      <w:divBdr>
        <w:top w:val="none" w:sz="0" w:space="0" w:color="auto"/>
        <w:left w:val="none" w:sz="0" w:space="0" w:color="auto"/>
        <w:bottom w:val="none" w:sz="0" w:space="0" w:color="auto"/>
        <w:right w:val="none" w:sz="0" w:space="0" w:color="auto"/>
      </w:divBdr>
    </w:div>
    <w:div w:id="745222578">
      <w:bodyDiv w:val="1"/>
      <w:marLeft w:val="0"/>
      <w:marRight w:val="0"/>
      <w:marTop w:val="0"/>
      <w:marBottom w:val="0"/>
      <w:divBdr>
        <w:top w:val="none" w:sz="0" w:space="0" w:color="auto"/>
        <w:left w:val="none" w:sz="0" w:space="0" w:color="auto"/>
        <w:bottom w:val="none" w:sz="0" w:space="0" w:color="auto"/>
        <w:right w:val="none" w:sz="0" w:space="0" w:color="auto"/>
      </w:divBdr>
    </w:div>
    <w:div w:id="1259482127">
      <w:bodyDiv w:val="1"/>
      <w:marLeft w:val="0"/>
      <w:marRight w:val="0"/>
      <w:marTop w:val="0"/>
      <w:marBottom w:val="0"/>
      <w:divBdr>
        <w:top w:val="none" w:sz="0" w:space="0" w:color="auto"/>
        <w:left w:val="none" w:sz="0" w:space="0" w:color="auto"/>
        <w:bottom w:val="none" w:sz="0" w:space="0" w:color="auto"/>
        <w:right w:val="none" w:sz="0" w:space="0" w:color="auto"/>
      </w:divBdr>
    </w:div>
    <w:div w:id="158495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1050</Words>
  <Characters>6615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Grunst</dc:creator>
  <cp:keywords/>
  <dc:description/>
  <cp:lastModifiedBy>Helmut Grunst</cp:lastModifiedBy>
  <cp:revision>4</cp:revision>
  <cp:lastPrinted>2025-02-13T03:46:00Z</cp:lastPrinted>
  <dcterms:created xsi:type="dcterms:W3CDTF">2025-02-13T02:53:00Z</dcterms:created>
  <dcterms:modified xsi:type="dcterms:W3CDTF">2025-02-13T04:09:00Z</dcterms:modified>
</cp:coreProperties>
</file>